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B8" w:rsidRPr="00BC648E" w:rsidRDefault="007C7AB8" w:rsidP="007C7AB8">
      <w:pPr>
        <w:spacing w:line="276" w:lineRule="auto"/>
        <w:jc w:val="center"/>
        <w:rPr>
          <w:sz w:val="40"/>
          <w:szCs w:val="40"/>
        </w:rPr>
      </w:pPr>
      <w:bookmarkStart w:id="0" w:name="_GoBack"/>
      <w:bookmarkEnd w:id="0"/>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8"/>
          <w:footerReference w:type="first" r:id="rId9"/>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1" w:name="_Toc536102396"/>
    </w:p>
    <w:bookmarkEnd w:id="1"/>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аний из более чем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lastRenderedPageBreak/>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4"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программа (программа повышения квалификации) медицинских психологов, психологов, специалистов по социальной работе по доабортному</w:t>
      </w:r>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 xml:space="preserve">(орфанными)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r w:rsidR="005A6973">
        <w:rPr>
          <w:sz w:val="28"/>
          <w:szCs w:val="28"/>
        </w:rPr>
        <w:t>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sidR="00D67407">
        <w:rPr>
          <w:sz w:val="28"/>
          <w:szCs w:val="28"/>
        </w:rPr>
        <w:t xml:space="preserve"> </w:t>
      </w:r>
      <w:r>
        <w:rPr>
          <w:sz w:val="28"/>
          <w:szCs w:val="28"/>
        </w:rPr>
        <w:t>мукополисахаридоз</w:t>
      </w:r>
      <w:r w:rsidR="005A6973">
        <w:rPr>
          <w:sz w:val="28"/>
          <w:szCs w:val="28"/>
        </w:rPr>
        <w:t>ом</w:t>
      </w:r>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5"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6"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7"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lastRenderedPageBreak/>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r w:rsidRPr="003B5522">
        <w:rPr>
          <w:sz w:val="28"/>
          <w:szCs w:val="28"/>
        </w:rPr>
        <w:t>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lastRenderedPageBreak/>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Роспотребнадзором в рамках совершенствования Национального календаря </w:t>
      </w:r>
      <w:r>
        <w:rPr>
          <w:rFonts w:eastAsiaTheme="minorHAnsi"/>
          <w:sz w:val="28"/>
          <w:szCs w:val="28"/>
          <w:lang w:eastAsia="en-US"/>
        </w:rPr>
        <w:lastRenderedPageBreak/>
        <w:t>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lastRenderedPageBreak/>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lastRenderedPageBreak/>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 xml:space="preserve">Согласно указанным правилам организации деятельности, кабинет врача-психиатра-нарколога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w:t>
      </w:r>
      <w:r>
        <w:rPr>
          <w:szCs w:val="28"/>
        </w:rPr>
        <w:lastRenderedPageBreak/>
        <w:t>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w:t>
      </w:r>
      <w:r>
        <w:rPr>
          <w:szCs w:val="28"/>
        </w:rPr>
        <w:lastRenderedPageBreak/>
        <w:t xml:space="preserve">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Итоги контрольно-надзорных мероприятий 2018 года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lastRenderedPageBreak/>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lastRenderedPageBreak/>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312 человек (10,1%) обращались по вопросам работы «горячей линии». На месячное телефонное сопровождение в первый месяц отказа от табако</w:t>
      </w:r>
      <w:r w:rsidR="00077246" w:rsidRPr="00CF4CE5">
        <w:rPr>
          <w:rFonts w:eastAsia="Calibri"/>
          <w:color w:val="000000"/>
          <w:sz w:val="28"/>
          <w:szCs w:val="28"/>
        </w:rPr>
        <w:t xml:space="preserve">курения дали свое </w:t>
      </w:r>
      <w:r w:rsidR="00077246" w:rsidRPr="00CF4CE5">
        <w:rPr>
          <w:rFonts w:eastAsia="Calibri"/>
          <w:color w:val="000000"/>
          <w:sz w:val="28"/>
          <w:szCs w:val="28"/>
        </w:rPr>
        <w:lastRenderedPageBreak/>
        <w:t xml:space="preserve">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 xml:space="preserve">инвестиционных </w:t>
      </w:r>
      <w:r w:rsidRPr="009A2825">
        <w:rPr>
          <w:rFonts w:ascii="Times New Roman" w:eastAsia="Times New Roman" w:hAnsi="Times New Roman" w:cs="Times New Roman"/>
          <w:sz w:val="28"/>
          <w:szCs w:val="28"/>
        </w:rPr>
        <w:lastRenderedPageBreak/>
        <w:t>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w:t>
      </w:r>
      <w:r w:rsidRPr="00CA2B45">
        <w:rPr>
          <w:sz w:val="28"/>
          <w:szCs w:val="28"/>
          <w:lang w:eastAsia="en-US"/>
        </w:rPr>
        <w:lastRenderedPageBreak/>
        <w:t>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Лечебное питание является неотъемлемым компонентом лечебного процесса и профилактических мероприятий, включает в себя пищевые </w:t>
      </w:r>
      <w:r w:rsidRPr="00CA2B45">
        <w:rPr>
          <w:sz w:val="28"/>
          <w:szCs w:val="28"/>
          <w:lang w:eastAsia="en-US"/>
        </w:rPr>
        <w:lastRenderedPageBreak/>
        <w:t>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lastRenderedPageBreak/>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lastRenderedPageBreak/>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lastRenderedPageBreak/>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w:t>
      </w:r>
      <w:r w:rsidRPr="00D84AAC">
        <w:rPr>
          <w:sz w:val="28"/>
          <w:szCs w:val="28"/>
        </w:rPr>
        <w:lastRenderedPageBreak/>
        <w:t xml:space="preserve">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lastRenderedPageBreak/>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w:t>
      </w:r>
      <w:r>
        <w:rPr>
          <w:bCs/>
          <w:sz w:val="28"/>
          <w:szCs w:val="28"/>
        </w:rPr>
        <w:lastRenderedPageBreak/>
        <w:t>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Минпросвещения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Минобрнауки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lastRenderedPageBreak/>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w:t>
      </w:r>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w:t>
      </w:r>
      <w:r w:rsidR="002829F0" w:rsidRPr="009E378D">
        <w:rPr>
          <w:sz w:val="28"/>
          <w:szCs w:val="28"/>
        </w:rPr>
        <w:lastRenderedPageBreak/>
        <w:t>(2017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w:t>
      </w:r>
      <w:r w:rsidR="00A5295B" w:rsidRPr="009E378D">
        <w:rPr>
          <w:sz w:val="28"/>
          <w:szCs w:val="28"/>
        </w:rPr>
        <w:lastRenderedPageBreak/>
        <w:t xml:space="preserve">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 xml:space="preserve">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w:t>
      </w:r>
      <w:r w:rsidRPr="009E378D">
        <w:rPr>
          <w:sz w:val="28"/>
          <w:szCs w:val="28"/>
        </w:rPr>
        <w:lastRenderedPageBreak/>
        <w:t>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 xml:space="preserve">в олимпиадном движении, во все положения о проведении всероссийских предметных олимпиад будут включены </w:t>
      </w:r>
      <w:r w:rsidRPr="009E378D">
        <w:rPr>
          <w:sz w:val="28"/>
          <w:szCs w:val="28"/>
        </w:rPr>
        <w:lastRenderedPageBreak/>
        <w:t>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lastRenderedPageBreak/>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xml:space="preserve">, инвалидов и детей-инвалидов, создание условий для их </w:t>
      </w:r>
      <w:r w:rsidRPr="009E378D">
        <w:rPr>
          <w:rStyle w:val="CharStyle5"/>
          <w:color w:val="000000"/>
        </w:rPr>
        <w:lastRenderedPageBreak/>
        <w:t>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w:t>
      </w:r>
      <w:r w:rsidRPr="009E378D">
        <w:rPr>
          <w:rStyle w:val="CharStyle5"/>
          <w:color w:val="000000"/>
        </w:rPr>
        <w:lastRenderedPageBreak/>
        <w:t>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w:t>
      </w:r>
      <w:r w:rsidRPr="009E378D">
        <w:rPr>
          <w:rStyle w:val="CharStyle5"/>
          <w:color w:val="000000"/>
        </w:rPr>
        <w:lastRenderedPageBreak/>
        <w:t>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 xml:space="preserve">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w:t>
      </w:r>
      <w:r w:rsidRPr="009E378D">
        <w:rPr>
          <w:rStyle w:val="CharStyle5"/>
          <w:color w:val="000000"/>
        </w:rPr>
        <w:lastRenderedPageBreak/>
        <w:t>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lastRenderedPageBreak/>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w:t>
      </w:r>
      <w:r w:rsidRPr="009E378D">
        <w:rPr>
          <w:rStyle w:val="CharStyle5"/>
          <w:color w:val="000000"/>
        </w:rPr>
        <w:lastRenderedPageBreak/>
        <w:t>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w:t>
      </w:r>
      <w:r w:rsidRPr="009E378D">
        <w:rPr>
          <w:rStyle w:val="CharStyle5"/>
          <w:color w:val="000000"/>
        </w:rPr>
        <w:lastRenderedPageBreak/>
        <w:t>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lastRenderedPageBreak/>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w:t>
      </w:r>
      <w:r w:rsidRPr="0045353A">
        <w:rPr>
          <w:sz w:val="28"/>
          <w:szCs w:val="28"/>
        </w:rPr>
        <w:lastRenderedPageBreak/>
        <w:t>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lastRenderedPageBreak/>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w:t>
      </w:r>
      <w:r w:rsidR="00A27AAA" w:rsidRPr="003904CC">
        <w:rPr>
          <w:sz w:val="28"/>
          <w:szCs w:val="28"/>
        </w:rPr>
        <w:lastRenderedPageBreak/>
        <w:t>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w:t>
      </w:r>
      <w:r w:rsidRPr="0096492A">
        <w:rPr>
          <w:rFonts w:eastAsia="Calibri"/>
          <w:bCs/>
          <w:sz w:val="28"/>
          <w:szCs w:val="28"/>
          <w:lang w:eastAsia="en-US"/>
        </w:rPr>
        <w:lastRenderedPageBreak/>
        <w:t>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lastRenderedPageBreak/>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lastRenderedPageBreak/>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w:t>
      </w:r>
      <w:r w:rsidRPr="00520C77">
        <w:rPr>
          <w:rStyle w:val="CharStyle7"/>
          <w:rFonts w:ascii="Times New Roman" w:hAnsi="Times New Roman" w:cs="Times New Roman"/>
          <w:color w:val="000000"/>
          <w:sz w:val="28"/>
          <w:szCs w:val="28"/>
        </w:rPr>
        <w:lastRenderedPageBreak/>
        <w:t>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xml:space="preserve">№ 436-ФЗ заключается в контроле за соблюдением законодательных </w:t>
      </w:r>
      <w:r w:rsidRPr="006A1C2D">
        <w:rPr>
          <w:rStyle w:val="CharStyle7"/>
          <w:rFonts w:ascii="Times New Roman" w:hAnsi="Times New Roman" w:cs="Times New Roman"/>
          <w:color w:val="000000"/>
          <w:sz w:val="28"/>
          <w:szCs w:val="28"/>
        </w:rPr>
        <w:lastRenderedPageBreak/>
        <w:t>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8"/>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«Хранимиры» в рамках встречи с автором книг Е.</w:t>
      </w:r>
      <w:r w:rsidR="004424CB">
        <w:rPr>
          <w:rFonts w:eastAsia="Calibri"/>
          <w:sz w:val="28"/>
          <w:szCs w:val="28"/>
        </w:rPr>
        <w:t xml:space="preserve"> </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r w:rsidRPr="00D50EBE">
        <w:rPr>
          <w:rFonts w:eastAsia="Calibri"/>
          <w:sz w:val="28"/>
          <w:szCs w:val="28"/>
        </w:rPr>
        <w:t>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19" w:tgtFrame="_blank" w:history="1">
        <w:r w:rsidRPr="00A30FCE">
          <w:rPr>
            <w:sz w:val="28"/>
            <w:szCs w:val="28"/>
          </w:rPr>
          <w:t>от 1 года до 3 лет</w:t>
        </w:r>
      </w:hyperlink>
      <w:r w:rsidRPr="00A30FCE">
        <w:rPr>
          <w:sz w:val="28"/>
          <w:szCs w:val="28"/>
        </w:rPr>
        <w:t xml:space="preserve">, </w:t>
      </w:r>
      <w:hyperlink r:id="rId20" w:tgtFrame="_blank" w:history="1">
        <w:r w:rsidRPr="00A30FCE">
          <w:rPr>
            <w:sz w:val="28"/>
            <w:szCs w:val="28"/>
          </w:rPr>
          <w:t>от 3 до 6 лет</w:t>
        </w:r>
      </w:hyperlink>
      <w:r w:rsidRPr="00A30FCE">
        <w:rPr>
          <w:sz w:val="28"/>
          <w:szCs w:val="28"/>
        </w:rPr>
        <w:t xml:space="preserve">, </w:t>
      </w:r>
      <w:hyperlink r:id="rId21" w:tgtFrame="_blank" w:history="1">
        <w:r w:rsidRPr="00A30FCE">
          <w:rPr>
            <w:sz w:val="28"/>
            <w:szCs w:val="28"/>
          </w:rPr>
          <w:t>от 6 до 9 лет</w:t>
        </w:r>
      </w:hyperlink>
      <w:r w:rsidRPr="00A30FCE">
        <w:rPr>
          <w:sz w:val="28"/>
          <w:szCs w:val="28"/>
        </w:rPr>
        <w:t xml:space="preserve">, </w:t>
      </w:r>
      <w:hyperlink r:id="rId22"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3" w:history="1">
        <w:r w:rsidRPr="0087574F">
          <w:rPr>
            <w:rStyle w:val="a9"/>
            <w:color w:val="auto"/>
            <w:sz w:val="28"/>
            <w:szCs w:val="28"/>
            <w:u w:val="none"/>
          </w:rPr>
          <w:t>Мир</w:t>
        </w:r>
      </w:hyperlink>
      <w:r w:rsidRPr="0087574F">
        <w:rPr>
          <w:sz w:val="28"/>
          <w:szCs w:val="28"/>
        </w:rPr>
        <w:t xml:space="preserve"> А.Н.Островского», «</w:t>
      </w:r>
      <w:hyperlink r:id="rId24"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w:t>
      </w:r>
      <w:r w:rsidRPr="001254D2">
        <w:rPr>
          <w:rFonts w:eastAsiaTheme="minorHAnsi"/>
          <w:sz w:val="28"/>
          <w:szCs w:val="28"/>
          <w:shd w:val="clear" w:color="auto" w:fill="FFFFFF"/>
          <w:lang w:eastAsia="en-US"/>
        </w:rPr>
        <w:lastRenderedPageBreak/>
        <w:t>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w:t>
      </w:r>
      <w:r w:rsidR="00F61F9D">
        <w:rPr>
          <w:rStyle w:val="CharStyle6"/>
          <w:rFonts w:ascii="Times New Roman" w:hAnsi="Times New Roman" w:cs="Times New Roman"/>
          <w:color w:val="000000"/>
        </w:rPr>
        <w:lastRenderedPageBreak/>
        <w:t xml:space="preserve">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w:t>
      </w:r>
      <w:r w:rsidRPr="00BA570D">
        <w:rPr>
          <w:rStyle w:val="CharStyle6"/>
          <w:rFonts w:ascii="Times New Roman" w:hAnsi="Times New Roman" w:cs="Times New Roman"/>
          <w:color w:val="000000"/>
        </w:rPr>
        <w:lastRenderedPageBreak/>
        <w:t xml:space="preserve">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w:t>
      </w:r>
      <w:r w:rsidRPr="00BA570D">
        <w:rPr>
          <w:rStyle w:val="CharStyle6"/>
          <w:rFonts w:ascii="Times New Roman" w:hAnsi="Times New Roman" w:cs="Times New Roman"/>
          <w:color w:val="000000"/>
        </w:rPr>
        <w:lastRenderedPageBreak/>
        <w:t xml:space="preserve">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w:t>
      </w:r>
      <w:r w:rsidRPr="00BA570D">
        <w:rPr>
          <w:rStyle w:val="CharStyle6"/>
          <w:rFonts w:ascii="Times New Roman" w:hAnsi="Times New Roman" w:cs="Times New Roman"/>
          <w:color w:val="000000"/>
        </w:rPr>
        <w:lastRenderedPageBreak/>
        <w:t>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r>
      <w:r w:rsidRPr="00BA570D">
        <w:rPr>
          <w:rStyle w:val="CharStyle6"/>
          <w:rFonts w:ascii="Times New Roman" w:hAnsi="Times New Roman" w:cs="Times New Roman"/>
          <w:color w:val="000000"/>
        </w:rPr>
        <w:lastRenderedPageBreak/>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w:t>
      </w:r>
      <w:r>
        <w:rPr>
          <w:rStyle w:val="CharStyle6"/>
          <w:rFonts w:ascii="Times New Roman" w:hAnsi="Times New Roman" w:cs="Times New Roman"/>
          <w:color w:val="000000"/>
        </w:rPr>
        <w:lastRenderedPageBreak/>
        <w:t>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lastRenderedPageBreak/>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организаций отдыха детей и их </w:t>
      </w:r>
      <w:r w:rsidRPr="00BA570D">
        <w:rPr>
          <w:rStyle w:val="CharStyle6"/>
          <w:rFonts w:ascii="Times New Roman" w:hAnsi="Times New Roman" w:cs="Times New Roman"/>
          <w:color w:val="000000"/>
        </w:rPr>
        <w:lastRenderedPageBreak/>
        <w:t>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 xml:space="preserve">с </w:t>
      </w:r>
      <w:r>
        <w:rPr>
          <w:rStyle w:val="CharStyle6"/>
          <w:rFonts w:ascii="Times New Roman" w:hAnsi="Times New Roman" w:cs="Times New Roman"/>
          <w:color w:val="000000"/>
        </w:rPr>
        <w:lastRenderedPageBreak/>
        <w:t>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w:t>
      </w:r>
      <w:r w:rsidR="00A64352">
        <w:rPr>
          <w:rStyle w:val="CharStyle6"/>
          <w:rFonts w:ascii="Times New Roman" w:hAnsi="Times New Roman" w:cs="Times New Roman"/>
          <w:color w:val="000000"/>
        </w:rPr>
        <w:lastRenderedPageBreak/>
        <w:t>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другими нарушениями. К административной ответственности привлечено 10 </w:t>
      </w:r>
      <w:r w:rsidRPr="00BA570D">
        <w:rPr>
          <w:rStyle w:val="CharStyle6"/>
          <w:rFonts w:ascii="Times New Roman" w:hAnsi="Times New Roman" w:cs="Times New Roman"/>
          <w:color w:val="000000"/>
        </w:rPr>
        <w:lastRenderedPageBreak/>
        <w:t>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детей (Краснодарский край, Кемеровская, Московская, Омская, Рязанская, </w:t>
      </w:r>
      <w:r w:rsidRPr="00BA570D">
        <w:rPr>
          <w:rStyle w:val="CharStyle6"/>
          <w:rFonts w:ascii="Times New Roman" w:hAnsi="Times New Roman" w:cs="Times New Roman"/>
          <w:color w:val="000000"/>
        </w:rPr>
        <w:lastRenderedPageBreak/>
        <w:t>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w:t>
      </w:r>
      <w:r w:rsidRPr="00922019">
        <w:rPr>
          <w:rStyle w:val="CharStyle5"/>
          <w:rFonts w:ascii="Times New Roman" w:hAnsi="Times New Roman" w:cs="Times New Roman"/>
          <w:color w:val="000000"/>
        </w:rPr>
        <w:lastRenderedPageBreak/>
        <w:t xml:space="preserve">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5" w:history="1">
        <w:r w:rsidRPr="001F0C65">
          <w:rPr>
            <w:sz w:val="28"/>
            <w:szCs w:val="28"/>
          </w:rPr>
          <w:t>на дому</w:t>
        </w:r>
      </w:hyperlink>
      <w:r w:rsidRPr="001F0C65">
        <w:rPr>
          <w:sz w:val="28"/>
          <w:szCs w:val="28"/>
        </w:rPr>
        <w:t xml:space="preserve">, в </w:t>
      </w:r>
      <w:hyperlink r:id="rId26" w:history="1">
        <w:r w:rsidRPr="001F0C65">
          <w:rPr>
            <w:sz w:val="28"/>
            <w:szCs w:val="28"/>
          </w:rPr>
          <w:t>полустационарной</w:t>
        </w:r>
      </w:hyperlink>
      <w:r w:rsidRPr="001F0C65">
        <w:rPr>
          <w:sz w:val="28"/>
          <w:szCs w:val="28"/>
        </w:rPr>
        <w:t xml:space="preserve"> форме, в </w:t>
      </w:r>
      <w:hyperlink r:id="rId27"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8"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lastRenderedPageBreak/>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w:t>
      </w:r>
      <w:r w:rsidRPr="000A0859">
        <w:rPr>
          <w:rFonts w:eastAsiaTheme="minorHAnsi"/>
          <w:color w:val="000000"/>
          <w:sz w:val="28"/>
          <w:szCs w:val="28"/>
          <w:shd w:val="clear" w:color="auto" w:fill="FFFFFF"/>
          <w:lang w:eastAsia="en-US"/>
        </w:rPr>
        <w:lastRenderedPageBreak/>
        <w:t>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 материалам, подготовленным с участием органов внутренних дел, лишены родительских прав 5 154 лица (2017 г. – 6 438 лиц; </w:t>
      </w:r>
      <w:r w:rsidRPr="000A0859">
        <w:rPr>
          <w:rFonts w:eastAsiaTheme="minorHAnsi"/>
          <w:color w:val="000000"/>
          <w:sz w:val="28"/>
          <w:szCs w:val="28"/>
          <w:shd w:val="clear" w:color="auto" w:fill="FFFFFF"/>
          <w:lang w:eastAsia="en-US"/>
        </w:rPr>
        <w:lastRenderedPageBreak/>
        <w:t>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w:t>
      </w:r>
      <w:r w:rsidRPr="000A0859">
        <w:rPr>
          <w:rFonts w:eastAsiaTheme="minorHAnsi"/>
          <w:color w:val="000000"/>
          <w:sz w:val="28"/>
          <w:szCs w:val="28"/>
          <w:shd w:val="clear" w:color="auto" w:fill="FFFFFF"/>
          <w:lang w:eastAsia="en-US"/>
        </w:rPr>
        <w:lastRenderedPageBreak/>
        <w:t>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w:t>
      </w:r>
      <w:r w:rsidRPr="000A0859">
        <w:rPr>
          <w:rFonts w:eastAsiaTheme="minorHAnsi"/>
          <w:color w:val="000000"/>
          <w:sz w:val="28"/>
          <w:szCs w:val="28"/>
          <w:shd w:val="clear" w:color="auto" w:fill="FFFFFF"/>
          <w:lang w:eastAsia="en-US"/>
        </w:rPr>
        <w:lastRenderedPageBreak/>
        <w:t>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Важным направлением деятельности в сфере профилактики семейного </w:t>
      </w:r>
      <w:r w:rsidRPr="000A0859">
        <w:rPr>
          <w:rFonts w:eastAsiaTheme="minorHAnsi"/>
          <w:color w:val="000000"/>
          <w:sz w:val="28"/>
          <w:szCs w:val="28"/>
          <w:shd w:val="clear" w:color="auto" w:fill="FFFFFF"/>
          <w:lang w:eastAsia="en-US"/>
        </w:rPr>
        <w:lastRenderedPageBreak/>
        <w:t>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Для участия в данном клубе приглашаются женщины, злоупотребляющие </w:t>
      </w:r>
      <w:r w:rsidRPr="000A0859">
        <w:rPr>
          <w:rFonts w:eastAsiaTheme="minorHAnsi"/>
          <w:color w:val="000000"/>
          <w:sz w:val="28"/>
          <w:szCs w:val="28"/>
          <w:shd w:val="clear" w:color="auto" w:fill="FFFFFF"/>
          <w:lang w:eastAsia="en-US"/>
        </w:rPr>
        <w:lastRenderedPageBreak/>
        <w:t>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w:t>
      </w:r>
      <w:r w:rsidRPr="00566EEE">
        <w:rPr>
          <w:rFonts w:eastAsia="Arial Unicode MS"/>
          <w:color w:val="000000"/>
        </w:rPr>
        <w:lastRenderedPageBreak/>
        <w:t xml:space="preserve">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 xml:space="preserve">5 </w:t>
      </w:r>
      <w:r w:rsidRPr="00566EEE">
        <w:rPr>
          <w:sz w:val="28"/>
          <w:szCs w:val="28"/>
        </w:rPr>
        <w:lastRenderedPageBreak/>
        <w:t>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w:t>
      </w:r>
      <w:r w:rsidRPr="00566EEE">
        <w:rPr>
          <w:sz w:val="28"/>
          <w:szCs w:val="28"/>
        </w:rPr>
        <w:lastRenderedPageBreak/>
        <w:t xml:space="preserve">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lastRenderedPageBreak/>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lastRenderedPageBreak/>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Огромный 12-</w:t>
      </w:r>
      <w:r w:rsidRPr="00BA4123">
        <w:rPr>
          <w:rFonts w:eastAsia="Calibri"/>
          <w:bCs/>
          <w:sz w:val="28"/>
          <w:szCs w:val="28"/>
        </w:rPr>
        <w:lastRenderedPageBreak/>
        <w:t xml:space="preserve">метровый контейнер-трансформер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w:t>
      </w:r>
      <w:r w:rsidR="00CD7BF3">
        <w:rPr>
          <w:rFonts w:eastAsia="Calibri"/>
          <w:bCs/>
          <w:sz w:val="28"/>
          <w:szCs w:val="28"/>
        </w:rPr>
        <w:lastRenderedPageBreak/>
        <w:t>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29"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w:t>
      </w:r>
      <w:r w:rsidR="00DD3854">
        <w:rPr>
          <w:rStyle w:val="CharStyle8"/>
          <w:rFonts w:ascii="Times New Roman" w:hAnsi="Times New Roman" w:cs="Times New Roman"/>
          <w:color w:val="000000"/>
        </w:rPr>
        <w:lastRenderedPageBreak/>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0"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2"/>
          <w:headerReference w:type="default" r:id="rId33"/>
          <w:headerReference w:type="first" r:id="rId34"/>
          <w:footerReference w:type="first" r:id="rId35"/>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r w:rsidRPr="00643441">
        <w:rPr>
          <w:rFonts w:eastAsia="Calibri"/>
          <w:sz w:val="28"/>
          <w:szCs w:val="28"/>
        </w:rPr>
        <w:t xml:space="preserve">интернатных учреждений направлено </w:t>
      </w:r>
      <w:r w:rsidRPr="00643441">
        <w:rPr>
          <w:rFonts w:eastAsia="Calibri"/>
          <w:sz w:val="28"/>
          <w:szCs w:val="28"/>
        </w:rPr>
        <w:lastRenderedPageBreak/>
        <w:t>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w:t>
      </w:r>
      <w:r w:rsidR="00311D4F">
        <w:rPr>
          <w:rFonts w:eastAsia="Calibri"/>
          <w:sz w:val="28"/>
          <w:szCs w:val="28"/>
        </w:rPr>
        <w:t xml:space="preserve"> </w:t>
      </w:r>
      <w:r w:rsidRPr="00EF5AA5">
        <w:rPr>
          <w:rFonts w:eastAsia="Calibri"/>
          <w:sz w:val="28"/>
          <w:szCs w:val="28"/>
        </w:rPr>
        <w:t>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w:t>
      </w:r>
      <w:r w:rsidRPr="00643441">
        <w:rPr>
          <w:rFonts w:eastAsia="Calibri"/>
          <w:sz w:val="28"/>
          <w:szCs w:val="28"/>
        </w:rPr>
        <w:lastRenderedPageBreak/>
        <w:t xml:space="preserve">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6"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w:t>
      </w:r>
      <w:r>
        <w:rPr>
          <w:rFonts w:eastAsiaTheme="minorHAnsi"/>
        </w:rPr>
        <w:lastRenderedPageBreak/>
        <w:t>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lastRenderedPageBreak/>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lastRenderedPageBreak/>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lastRenderedPageBreak/>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lastRenderedPageBreak/>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lastRenderedPageBreak/>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lastRenderedPageBreak/>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lastRenderedPageBreak/>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lastRenderedPageBreak/>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lastRenderedPageBreak/>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lastRenderedPageBreak/>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lastRenderedPageBreak/>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lastRenderedPageBreak/>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lastRenderedPageBreak/>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lastRenderedPageBreak/>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lastRenderedPageBreak/>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lastRenderedPageBreak/>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lastRenderedPageBreak/>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 xml:space="preserve">по предпрофессиональным </w:t>
            </w:r>
            <w:r>
              <w:lastRenderedPageBreak/>
              <w:t>программам</w:t>
            </w:r>
          </w:p>
        </w:tc>
        <w:tc>
          <w:tcPr>
            <w:tcW w:w="2127" w:type="dxa"/>
            <w:vAlign w:val="center"/>
          </w:tcPr>
          <w:p w:rsidR="00075253" w:rsidRDefault="00075253" w:rsidP="00075253">
            <w:pPr>
              <w:tabs>
                <w:tab w:val="center" w:pos="6634"/>
              </w:tabs>
              <w:jc w:val="center"/>
            </w:pPr>
            <w:r>
              <w:lastRenderedPageBreak/>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lastRenderedPageBreak/>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 xml:space="preserve">Работники сферы обслуживания и торговли, охраны </w:t>
            </w:r>
            <w:r w:rsidRPr="004700B7">
              <w:lastRenderedPageBreak/>
              <w:t>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lastRenderedPageBreak/>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lastRenderedPageBreak/>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lastRenderedPageBreak/>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lastRenderedPageBreak/>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 xml:space="preserve">Уровень </w:t>
            </w:r>
            <w:r w:rsidRPr="00950237">
              <w:lastRenderedPageBreak/>
              <w:t>безработицы</w:t>
            </w:r>
          </w:p>
        </w:tc>
        <w:tc>
          <w:tcPr>
            <w:tcW w:w="1329" w:type="dxa"/>
            <w:vAlign w:val="center"/>
          </w:tcPr>
          <w:p w:rsidR="00075253" w:rsidRPr="00950237" w:rsidRDefault="00075253" w:rsidP="00075253">
            <w:pPr>
              <w:jc w:val="center"/>
            </w:pPr>
            <w:r w:rsidRPr="00950237">
              <w:lastRenderedPageBreak/>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lastRenderedPageBreak/>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 xml:space="preserve">Из числа женщин, имеющих детей до 18 лет, женщины, имеющие детей дошкольного возраста (0-6 </w:t>
            </w:r>
            <w:r w:rsidRPr="000B5C3F">
              <w:lastRenderedPageBreak/>
              <w:t>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lastRenderedPageBreak/>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lastRenderedPageBreak/>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 xml:space="preserve">Домашние хозяйства с детьми в возрасте до 16 </w:t>
            </w:r>
            <w:r w:rsidRPr="00C92168">
              <w:lastRenderedPageBreak/>
              <w:t>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lastRenderedPageBreak/>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lastRenderedPageBreak/>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lastRenderedPageBreak/>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lastRenderedPageBreak/>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lastRenderedPageBreak/>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lastRenderedPageBreak/>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Ярославская </w:t>
            </w:r>
            <w:r w:rsidRPr="007E264D">
              <w:lastRenderedPageBreak/>
              <w:t>область</w:t>
            </w:r>
            <w:r>
              <w:rPr>
                <w:vertAlign w:val="superscript"/>
              </w:rPr>
              <w:t>2</w:t>
            </w:r>
          </w:p>
        </w:tc>
        <w:tc>
          <w:tcPr>
            <w:tcW w:w="435" w:type="pct"/>
            <w:vAlign w:val="center"/>
          </w:tcPr>
          <w:p w:rsidR="00075253" w:rsidRPr="007E264D" w:rsidRDefault="00075253" w:rsidP="00075253">
            <w:pPr>
              <w:ind w:right="227"/>
              <w:jc w:val="center"/>
            </w:pPr>
            <w:r w:rsidRPr="007E264D">
              <w:lastRenderedPageBreak/>
              <w:t>407</w:t>
            </w:r>
            <w:r>
              <w:t>-</w:t>
            </w:r>
            <w:r>
              <w:lastRenderedPageBreak/>
              <w:t>571</w:t>
            </w:r>
          </w:p>
        </w:tc>
        <w:tc>
          <w:tcPr>
            <w:tcW w:w="439" w:type="pct"/>
            <w:vAlign w:val="center"/>
          </w:tcPr>
          <w:p w:rsidR="00075253" w:rsidRPr="007E264D" w:rsidRDefault="00075253" w:rsidP="00075253">
            <w:pPr>
              <w:ind w:right="227"/>
              <w:jc w:val="center"/>
            </w:pPr>
            <w:r>
              <w:lastRenderedPageBreak/>
              <w:t>520-</w:t>
            </w:r>
            <w:r>
              <w:lastRenderedPageBreak/>
              <w:t>770</w:t>
            </w:r>
          </w:p>
        </w:tc>
        <w:tc>
          <w:tcPr>
            <w:tcW w:w="412" w:type="pct"/>
            <w:vAlign w:val="center"/>
          </w:tcPr>
          <w:p w:rsidR="00075253" w:rsidRPr="007E264D" w:rsidRDefault="00075253" w:rsidP="00075253">
            <w:pPr>
              <w:ind w:right="227"/>
              <w:jc w:val="center"/>
            </w:pPr>
            <w:r>
              <w:lastRenderedPageBreak/>
              <w:t>520-</w:t>
            </w:r>
            <w:r>
              <w:lastRenderedPageBreak/>
              <w:t>770</w:t>
            </w:r>
          </w:p>
        </w:tc>
        <w:tc>
          <w:tcPr>
            <w:tcW w:w="447" w:type="pct"/>
            <w:vAlign w:val="center"/>
          </w:tcPr>
          <w:p w:rsidR="00075253" w:rsidRPr="007E264D" w:rsidRDefault="00075253" w:rsidP="00075253">
            <w:pPr>
              <w:ind w:right="227"/>
              <w:jc w:val="center"/>
            </w:pPr>
            <w:r>
              <w:lastRenderedPageBreak/>
              <w:t>520-</w:t>
            </w:r>
            <w:r>
              <w:lastRenderedPageBreak/>
              <w:t>770</w:t>
            </w:r>
          </w:p>
        </w:tc>
        <w:tc>
          <w:tcPr>
            <w:tcW w:w="443" w:type="pct"/>
            <w:vAlign w:val="center"/>
          </w:tcPr>
          <w:p w:rsidR="00075253" w:rsidRDefault="00075253" w:rsidP="00075253">
            <w:pPr>
              <w:ind w:right="227"/>
              <w:jc w:val="center"/>
            </w:pPr>
            <w:r>
              <w:lastRenderedPageBreak/>
              <w:t>419-</w:t>
            </w:r>
            <w:r>
              <w:lastRenderedPageBreak/>
              <w:t>656</w:t>
            </w:r>
          </w:p>
        </w:tc>
        <w:tc>
          <w:tcPr>
            <w:tcW w:w="383" w:type="pct"/>
            <w:vAlign w:val="center"/>
          </w:tcPr>
          <w:p w:rsidR="00075253" w:rsidRDefault="00075253" w:rsidP="00075253">
            <w:pPr>
              <w:ind w:right="227"/>
              <w:jc w:val="center"/>
            </w:pPr>
            <w:r>
              <w:lastRenderedPageBreak/>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Республика </w:t>
            </w:r>
            <w:r w:rsidRPr="007E264D">
              <w:rPr>
                <w:color w:val="000000"/>
              </w:rPr>
              <w:lastRenderedPageBreak/>
              <w:t>Крым</w:t>
            </w:r>
          </w:p>
        </w:tc>
        <w:tc>
          <w:tcPr>
            <w:tcW w:w="435" w:type="pct"/>
            <w:vAlign w:val="center"/>
          </w:tcPr>
          <w:p w:rsidR="00075253" w:rsidRPr="007E264D" w:rsidRDefault="00075253" w:rsidP="00075253">
            <w:pPr>
              <w:ind w:right="227"/>
              <w:jc w:val="center"/>
            </w:pPr>
            <w:r w:rsidRPr="007E264D">
              <w:lastRenderedPageBreak/>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 xml:space="preserve">Сибирский федеральный </w:t>
            </w:r>
            <w:r w:rsidRPr="007E264D">
              <w:rPr>
                <w:b/>
              </w:rPr>
              <w:lastRenderedPageBreak/>
              <w:t>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 xml:space="preserve">Еврейская автономная </w:t>
            </w:r>
            <w:r w:rsidRPr="007E264D">
              <w:lastRenderedPageBreak/>
              <w:t>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lastRenderedPageBreak/>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lastRenderedPageBreak/>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lastRenderedPageBreak/>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lastRenderedPageBreak/>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lastRenderedPageBreak/>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lastRenderedPageBreak/>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w:t>
            </w:r>
            <w:r w:rsidRPr="0017063B">
              <w:lastRenderedPageBreak/>
              <w:t xml:space="preserve">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lastRenderedPageBreak/>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 xml:space="preserve">из числа собирающихся  улучшить свои жилищные </w:t>
            </w:r>
            <w:r w:rsidRPr="000A65B9">
              <w:rPr>
                <w:i/>
              </w:rPr>
              <w:lastRenderedPageBreak/>
              <w:t>условия</w:t>
            </w:r>
          </w:p>
        </w:tc>
        <w:tc>
          <w:tcPr>
            <w:tcW w:w="892" w:type="pct"/>
            <w:vAlign w:val="center"/>
          </w:tcPr>
          <w:p w:rsidR="00075253" w:rsidRPr="00902D3B" w:rsidRDefault="00075253" w:rsidP="00075253">
            <w:pPr>
              <w:spacing w:before="80" w:after="20"/>
              <w:ind w:right="-61"/>
              <w:jc w:val="center"/>
            </w:pPr>
            <w:r>
              <w:lastRenderedPageBreak/>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lastRenderedPageBreak/>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lastRenderedPageBreak/>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lastRenderedPageBreak/>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lastRenderedPageBreak/>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D17443"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D17443"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D17443"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имеющих доступ к улучшенным санитарно-техническим </w:t>
            </w:r>
            <w:r w:rsidRPr="00373374">
              <w:rPr>
                <w:sz w:val="19"/>
                <w:szCs w:val="19"/>
              </w:rPr>
              <w:lastRenderedPageBreak/>
              <w:t>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lastRenderedPageBreak/>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lastRenderedPageBreak/>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w:t>
            </w:r>
            <w:r w:rsidRPr="00C453E5">
              <w:lastRenderedPageBreak/>
              <w:t>до 15 лет– всего</w:t>
            </w:r>
          </w:p>
        </w:tc>
        <w:tc>
          <w:tcPr>
            <w:tcW w:w="688" w:type="pct"/>
            <w:tcMar>
              <w:left w:w="0" w:type="dxa"/>
              <w:right w:w="0" w:type="dxa"/>
            </w:tcMar>
            <w:vAlign w:val="center"/>
          </w:tcPr>
          <w:p w:rsidR="00075253" w:rsidRPr="00C453E5" w:rsidRDefault="00075253" w:rsidP="00075253">
            <w:pPr>
              <w:ind w:left="57"/>
              <w:jc w:val="center"/>
            </w:pPr>
            <w:r w:rsidRPr="00C453E5">
              <w:lastRenderedPageBreak/>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lastRenderedPageBreak/>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 xml:space="preserve">возможности посещать дополнительные </w:t>
            </w:r>
            <w:r w:rsidRPr="00C453E5">
              <w:lastRenderedPageBreak/>
              <w:t>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lastRenderedPageBreak/>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lastRenderedPageBreak/>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до 15 лет, указавшие на отсутствие каких-либо условий для полноценного развития </w:t>
            </w:r>
            <w:r w:rsidRPr="00C453E5">
              <w:lastRenderedPageBreak/>
              <w:t>ребенка – всего</w:t>
            </w:r>
          </w:p>
        </w:tc>
        <w:tc>
          <w:tcPr>
            <w:tcW w:w="688" w:type="pct"/>
            <w:tcMar>
              <w:left w:w="0" w:type="dxa"/>
              <w:right w:w="0" w:type="dxa"/>
            </w:tcMar>
            <w:vAlign w:val="center"/>
          </w:tcPr>
          <w:p w:rsidR="00075253" w:rsidRPr="00C453E5" w:rsidRDefault="00075253" w:rsidP="00075253">
            <w:pPr>
              <w:ind w:left="57"/>
              <w:jc w:val="center"/>
            </w:pPr>
            <w:r>
              <w:lastRenderedPageBreak/>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w:t>
            </w:r>
            <w:r w:rsidRPr="00CD7148">
              <w:rPr>
                <w:sz w:val="19"/>
                <w:szCs w:val="19"/>
              </w:rPr>
              <w:lastRenderedPageBreak/>
              <w:t xml:space="preserve">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lastRenderedPageBreak/>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lastRenderedPageBreak/>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7"/>
          <w:headerReference w:type="default" r:id="rId38"/>
          <w:footerReference w:type="even" r:id="rId39"/>
          <w:footerReference w:type="default" r:id="rId40"/>
          <w:headerReference w:type="first" r:id="rId41"/>
          <w:footerReference w:type="first" r:id="rId42"/>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lastRenderedPageBreak/>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w:t>
            </w:r>
            <w:r>
              <w:lastRenderedPageBreak/>
              <w:t>е женщины и кормящие матери</w:t>
            </w:r>
          </w:p>
        </w:tc>
        <w:tc>
          <w:tcPr>
            <w:tcW w:w="1276" w:type="dxa"/>
            <w:vAlign w:val="center"/>
          </w:tcPr>
          <w:p w:rsidR="00075253" w:rsidRPr="00E6744E" w:rsidRDefault="00075253" w:rsidP="00075253">
            <w:pPr>
              <w:jc w:val="center"/>
            </w:pPr>
            <w:r>
              <w:lastRenderedPageBreak/>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w:t>
            </w:r>
            <w:r>
              <w:lastRenderedPageBreak/>
              <w:t>ие</w:t>
            </w:r>
          </w:p>
        </w:tc>
        <w:tc>
          <w:tcPr>
            <w:tcW w:w="1276" w:type="dxa"/>
            <w:vAlign w:val="center"/>
          </w:tcPr>
          <w:p w:rsidR="00075253" w:rsidRPr="00E6744E" w:rsidRDefault="00075253" w:rsidP="00075253">
            <w:pPr>
              <w:jc w:val="center"/>
            </w:pPr>
            <w:r>
              <w:lastRenderedPageBreak/>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lastRenderedPageBreak/>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 xml:space="preserve">лица, </w:t>
            </w:r>
            <w:r>
              <w:lastRenderedPageBreak/>
              <w:t>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w:t>
            </w:r>
            <w:r>
              <w:lastRenderedPageBreak/>
              <w:t>7</w:t>
            </w:r>
          </w:p>
        </w:tc>
      </w:tr>
      <w:tr w:rsidR="00075253" w:rsidTr="008F23AA">
        <w:trPr>
          <w:trHeight w:val="412"/>
        </w:trPr>
        <w:tc>
          <w:tcPr>
            <w:tcW w:w="16410" w:type="dxa"/>
            <w:gridSpan w:val="13"/>
            <w:vAlign w:val="center"/>
          </w:tcPr>
          <w:p w:rsidR="00075253" w:rsidRPr="00E6744E" w:rsidRDefault="00075253" w:rsidP="00075253">
            <w:pPr>
              <w:jc w:val="center"/>
            </w:pPr>
            <w:r>
              <w:rPr>
                <w:b/>
              </w:rPr>
              <w:lastRenderedPageBreak/>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w:t>
            </w:r>
            <w:r w:rsidRPr="00E6744E">
              <w:lastRenderedPageBreak/>
              <w:t>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lastRenderedPageBreak/>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 xml:space="preserve">дети-сироты и дети, оставшиеся без попечения </w:t>
            </w:r>
            <w:r>
              <w:lastRenderedPageBreak/>
              <w:t>родителей</w:t>
            </w:r>
          </w:p>
        </w:tc>
        <w:tc>
          <w:tcPr>
            <w:tcW w:w="1276" w:type="dxa"/>
            <w:vAlign w:val="center"/>
          </w:tcPr>
          <w:p w:rsidR="00075253" w:rsidRPr="00E6744E" w:rsidRDefault="00075253" w:rsidP="00075253">
            <w:pPr>
              <w:jc w:val="center"/>
            </w:pPr>
            <w:r>
              <w:lastRenderedPageBreak/>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lastRenderedPageBreak/>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w:t>
            </w:r>
            <w:r>
              <w:lastRenderedPageBreak/>
              <w:t>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lastRenderedPageBreak/>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lastRenderedPageBreak/>
              <w:t>лица, получающие компенсацию части родительс-кой платы за присмотр и уход за детьми в дошкольн</w:t>
            </w:r>
            <w:r>
              <w:lastRenderedPageBreak/>
              <w:t>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lastRenderedPageBreak/>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 xml:space="preserve">беременные женщины </w:t>
            </w:r>
            <w:r>
              <w:lastRenderedPageBreak/>
              <w:t>и кормящие матери</w:t>
            </w:r>
          </w:p>
        </w:tc>
        <w:tc>
          <w:tcPr>
            <w:tcW w:w="1276" w:type="dxa"/>
            <w:vAlign w:val="center"/>
          </w:tcPr>
          <w:p w:rsidR="00075253" w:rsidRPr="00E6744E" w:rsidRDefault="00075253" w:rsidP="00075253">
            <w:pPr>
              <w:jc w:val="center"/>
            </w:pPr>
            <w:r>
              <w:lastRenderedPageBreak/>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3"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lastRenderedPageBreak/>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lastRenderedPageBreak/>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lastRenderedPageBreak/>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lastRenderedPageBreak/>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lastRenderedPageBreak/>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lastRenderedPageBreak/>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lastRenderedPageBreak/>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lastRenderedPageBreak/>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lastRenderedPageBreak/>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443" w:rsidRDefault="00D17443" w:rsidP="005463BE">
      <w:r>
        <w:separator/>
      </w:r>
    </w:p>
  </w:endnote>
  <w:endnote w:type="continuationSeparator" w:id="0">
    <w:p w:rsidR="00D17443" w:rsidRDefault="00D17443"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5F2117">
          <w:rPr>
            <w:noProof/>
          </w:rPr>
          <w:t>21</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5F2117">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676275</wp:posOffset>
              </wp:positionH>
              <wp:positionV relativeFrom="page">
                <wp:posOffset>10097770</wp:posOffset>
              </wp:positionV>
              <wp:extent cx="3139440" cy="146050"/>
              <wp:effectExtent l="0"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3.25pt;margin-top:795.1pt;width:247.2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"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5F2117">
      <w:rPr>
        <w:noProof/>
      </w:rPr>
      <w:t>350</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443" w:rsidRDefault="00D17443" w:rsidP="005463BE">
      <w:r>
        <w:separator/>
      </w:r>
    </w:p>
  </w:footnote>
  <w:footnote w:type="continuationSeparator" w:id="0">
    <w:p w:rsidR="00D17443" w:rsidRDefault="00D17443" w:rsidP="0054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5F2117">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3702685</wp:posOffset>
              </wp:positionH>
              <wp:positionV relativeFrom="page">
                <wp:posOffset>335280</wp:posOffset>
              </wp:positionV>
              <wp:extent cx="133985" cy="106680"/>
              <wp:effectExtent l="0" t="1905" r="190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55pt;margin-top:26.4pt;width:10.55pt;height:8.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5F2117">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3702685</wp:posOffset>
              </wp:positionH>
              <wp:positionV relativeFrom="page">
                <wp:posOffset>445135</wp:posOffset>
              </wp:positionV>
              <wp:extent cx="130810" cy="103505"/>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1.55pt;margin-top:35.05pt;width:10.3pt;height:8.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117"/>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17443"/>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3DA4EF2-5044-4191-9DB1-810C9B0A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hyperlink" Target="consultantplus://offline/ref=4FA992B59F725A780330F47FF739006C612C9E4A3625C8A4626DDFAE1CFB2A58BC5FA6E59F8027B1u0ABK"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meloman.ru/kids/concerts/?kids_age=6-9" TargetMode="External"/><Relationship Id="rId34" Type="http://schemas.openxmlformats.org/officeDocument/2006/relationships/header" Target="header4.xm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consultantplus://offline/ref=A055E63A5BB57FD781DB1B2FC6239FE4DC177A9A1B1CDB8F9CA1D15338B0C15294663AA223EF57C13D8D0E0444A90CC85695A77999F4969DGBd1I" TargetMode="External"/><Relationship Id="rId25" Type="http://schemas.openxmlformats.org/officeDocument/2006/relationships/hyperlink" Target="consultantplus://offline/ref=4FA992B59F725A780330F47FF739006C612C99433C23C8A4626DDFAE1CFB2A58BC5FA6E59F8027B0u0A2K" TargetMode="Externa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857C834D20B1155F103C2408BA66685F697G9d5I" TargetMode="External"/><Relationship Id="rId20" Type="http://schemas.openxmlformats.org/officeDocument/2006/relationships/hyperlink" Target="http://www.meloman.ru/kids/concerts/?kids_age=3-6" TargetMode="External"/><Relationship Id="rId29" Type="http://schemas.openxmlformats.org/officeDocument/2006/relationships/hyperlink" Target="http://www.ya-roditel.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museum.ru/T1033"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55E63A5BB57FD781DB1B2FC6239FE4DC137C9A1012868594F8DD513FBF9E45932F36A323EF54C634D20B1155F103C2408BA66685F697G9d5I" TargetMode="External"/><Relationship Id="rId23" Type="http://schemas.openxmlformats.org/officeDocument/2006/relationships/hyperlink" Target="http://www.museum.ru/T1032" TargetMode="External"/><Relationship Id="rId28" Type="http://schemas.openxmlformats.org/officeDocument/2006/relationships/hyperlink" Target="consultantplus://offline/ref=E419163D878211DD63E1888A7D2105B521B475D1BA9D1D2AF6222001073ABAC7DE876CB4398AA9A777Y6N" TargetMode="External"/><Relationship Id="rId36" Type="http://schemas.openxmlformats.org/officeDocument/2006/relationships/hyperlink" Target="consultantplus://offline/ref=578D69790F5AEBC5C0AF851CEF9321C968073C69879170F32441119F7BRBO9I" TargetMode="External"/><Relationship Id="rId10" Type="http://schemas.openxmlformats.org/officeDocument/2006/relationships/chart" Target="charts/chart1.xml"/><Relationship Id="rId19" Type="http://schemas.openxmlformats.org/officeDocument/2006/relationships/hyperlink" Target="http://www.meloman.ru/kids/concerts/?kids_age=1-3" TargetMode="External"/><Relationship Id="rId31" Type="http://schemas.openxmlformats.org/officeDocument/2006/relationships/hyperlink" Target="http://fedim.ru/rabota-v-suv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nfin.ru/ru/perfomance/GovSupport" TargetMode="External"/><Relationship Id="rId22" Type="http://schemas.openxmlformats.org/officeDocument/2006/relationships/hyperlink" Target="http://www.meloman.ru/kids/concerts/?kids_age=9-12" TargetMode="External"/><Relationship Id="rId27" Type="http://schemas.openxmlformats.org/officeDocument/2006/relationships/hyperlink" Target="consultantplus://offline/ref=4FA992B59F725A780330F47FF739006C612C9F4A3720C8A4626DDFAE1CFB2A58BC5FA6E59F8027B0u0A2K" TargetMode="External"/><Relationship Id="rId30" Type="http://schemas.openxmlformats.org/officeDocument/2006/relationships/hyperlink" Target="http://fedim.ru/services-of-mediation/programs" TargetMode="External"/><Relationship Id="rId35" Type="http://schemas.openxmlformats.org/officeDocument/2006/relationships/footer" Target="footer3.xml"/><Relationship Id="rId43" Type="http://schemas.openxmlformats.org/officeDocument/2006/relationships/hyperlink" Target="http://www.gks.ru/free_doc/new_site/population/urov/rashod_cb.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6="http://schemas.microsoft.com/office/drawing/2014/chart" uri="{C3380CC4-5D6E-409C-BE32-E72D297353CC}">
                  <c16:uniqueId val="{0000000D-19CA-4520-9648-3F3FABB731DB}"/>
                </c:ext>
                <c:ext xmlns:c15="http://schemas.microsoft.com/office/drawing/2012/chart" uri="{CE6537A1-D6FC-4f65-9D91-7224C49458BB}"/>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9CA-4520-9648-3F3FABB731DB}"/>
                </c:ext>
                <c:ext xmlns:c15="http://schemas.microsoft.com/office/drawing/2012/chart" uri="{CE6537A1-D6FC-4f65-9D91-7224C49458BB}"/>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CA-4520-9648-3F3FABB731DB}"/>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3-19CA-4520-9648-3F3FABB731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744-46FC-BBBC-9000F4FAA59A}"/>
                </c:ext>
                <c:ext xmlns:c15="http://schemas.microsoft.com/office/drawing/2012/chart" uri="{CE6537A1-D6FC-4f65-9D91-7224C49458BB}"/>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744-46FC-BBBC-9000F4FAA59A}"/>
                </c:ext>
                <c:ext xmlns:c15="http://schemas.microsoft.com/office/drawing/2012/chart" uri="{CE6537A1-D6FC-4f65-9D91-7224C49458BB}"/>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744-46FC-BBBC-9000F4FAA59A}"/>
                </c:ext>
                <c:ext xmlns:c15="http://schemas.microsoft.com/office/drawing/2012/chart" uri="{CE6537A1-D6FC-4f65-9D91-7224C49458BB}"/>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744-46FC-BBBC-9000F4FAA59A}"/>
                </c:ext>
                <c:ext xmlns:c15="http://schemas.microsoft.com/office/drawing/2012/chart" uri="{CE6537A1-D6FC-4f65-9D91-7224C49458BB}"/>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5744-46FC-BBBC-9000F4FAA59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CBFCC-EF17-4501-AD72-CD1B2801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400</Pages>
  <Words>110257</Words>
  <Characters>628466</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ZherebtsovaON</dc:creator>
  <cp:keywords/>
  <dc:description/>
  <cp:lastModifiedBy>CPD5_3</cp:lastModifiedBy>
  <cp:revision>2</cp:revision>
  <cp:lastPrinted>2019-11-28T08:10:00Z</cp:lastPrinted>
  <dcterms:created xsi:type="dcterms:W3CDTF">2020-01-09T11:10:00Z</dcterms:created>
  <dcterms:modified xsi:type="dcterms:W3CDTF">2020-01-09T11:10:00Z</dcterms:modified>
</cp:coreProperties>
</file>